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pPr>
      <w:bookmarkStart w:id="0" w:name="_Hlk19781073"/>
    </w:p>
    <w:p>
      <w:pPr>
        <w:pStyle w:val="118"/>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50504</w:t>
      </w:r>
    </w:p>
    <w:p>
      <w:pPr>
        <w:pStyle w:val="118"/>
        <w:rPr>
          <w:rFonts w:hint="eastAsia" w:eastAsia="宋体"/>
          <w:lang w:eastAsia="zh-CN"/>
        </w:rPr>
      </w:pPr>
      <w:bookmarkStart w:id="2" w:name="_Hlk19781143"/>
      <w:r>
        <w:rPr>
          <w:rFonts w:hint="eastAsia" w:eastAsia="宋体"/>
          <w:szCs w:val="24"/>
          <w:lang w:val="en-US" w:eastAsia="zh-CN"/>
        </w:rPr>
        <w:t>Athens</w:t>
      </w:r>
      <w:r>
        <w:rPr>
          <w:szCs w:val="24"/>
        </w:rPr>
        <w:t xml:space="preserve">, </w:t>
      </w:r>
      <w:r>
        <w:rPr>
          <w:rFonts w:hint="eastAsia" w:eastAsia="宋体"/>
          <w:szCs w:val="24"/>
          <w:lang w:val="en-US" w:eastAsia="zh-CN"/>
        </w:rPr>
        <w:t>Greece</w:t>
      </w:r>
      <w:r>
        <w:rPr>
          <w:szCs w:val="24"/>
        </w:rPr>
        <w:t xml:space="preserve">, </w:t>
      </w:r>
      <w:r>
        <w:rPr>
          <w:rFonts w:hint="eastAsia" w:eastAsia="宋体"/>
          <w:szCs w:val="24"/>
          <w:lang w:val="en-US" w:eastAsia="zh-CN"/>
        </w:rPr>
        <w:t>17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21</w:t>
      </w:r>
      <w:r>
        <w:rPr>
          <w:rFonts w:hint="eastAsia" w:eastAsia="宋体"/>
          <w:vertAlign w:val="superscript"/>
          <w:lang w:val="en-US" w:eastAsia="zh-CN"/>
        </w:rPr>
        <w:t>st</w:t>
      </w:r>
      <w:r>
        <w:t xml:space="preserve"> </w:t>
      </w:r>
      <w:r>
        <w:rPr>
          <w:rFonts w:hint="eastAsia" w:eastAsia="宋体"/>
          <w:lang w:val="en-US" w:eastAsia="zh-CN"/>
        </w:rPr>
        <w:t>Feb</w:t>
      </w:r>
      <w:r>
        <w:t xml:space="preserve"> 202</w:t>
      </w:r>
      <w:r>
        <w:rPr>
          <w:rFonts w:hint="eastAsia" w:eastAsia="宋体"/>
          <w:lang w:val="en-US" w:eastAsia="zh-CN"/>
        </w:rPr>
        <w:t>5</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15.2</w:t>
      </w:r>
    </w:p>
    <w:p>
      <w:pPr>
        <w:pStyle w:val="89"/>
        <w:rPr>
          <w:rFonts w:hint="default" w:eastAsia="宋体"/>
          <w:lang w:val="en-US" w:eastAsia="zh-CN"/>
        </w:rPr>
      </w:pPr>
      <w:r>
        <w:t>Source:</w:t>
      </w:r>
      <w:r>
        <w:tab/>
      </w:r>
      <w:r>
        <w:rPr>
          <w:rFonts w:hint="eastAsia" w:eastAsia="宋体"/>
          <w:lang w:val="en-US" w:eastAsia="zh-CN"/>
        </w:rPr>
        <w:t>ZTE Corporation</w:t>
      </w:r>
    </w:p>
    <w:p>
      <w:pPr>
        <w:pStyle w:val="89"/>
        <w:ind w:left="1985" w:hanging="1985"/>
        <w:rPr>
          <w:rFonts w:hint="default"/>
          <w:lang w:val="en-US" w:eastAsia="ja-JP"/>
        </w:rPr>
      </w:pPr>
      <w:r>
        <w:t>Title:</w:t>
      </w:r>
      <w:r>
        <w:tab/>
      </w:r>
      <w:r>
        <w:rPr>
          <w:rFonts w:hint="eastAsia" w:eastAsia="宋体"/>
          <w:lang w:val="en-US" w:eastAsia="zh-CN"/>
        </w:rPr>
        <w:t>Discussion on support of Store&amp;Forward satellite operation and full eNB as regenerative payload for IoT NTN</w:t>
      </w:r>
    </w:p>
    <w:p>
      <w:pPr>
        <w:pStyle w:val="89"/>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 xml:space="preserve">In RAN#106 meeting, the </w:t>
      </w:r>
      <w:r>
        <w:rPr>
          <w:rFonts w:hint="default" w:ascii="Arial" w:hAnsi="Arial" w:cs="Arial"/>
          <w:color w:val="000000"/>
          <w:sz w:val="20"/>
          <w:szCs w:val="18"/>
          <w:lang w:val="en-US" w:eastAsia="zh-CN"/>
        </w:rPr>
        <w:t>“</w:t>
      </w:r>
      <w:bookmarkStart w:id="3" w:name="OLE_LINK12"/>
      <w:r>
        <w:rPr>
          <w:rFonts w:hint="eastAsia" w:ascii="Arial" w:hAnsi="Arial" w:cs="Arial"/>
          <w:color w:val="000000"/>
          <w:sz w:val="20"/>
          <w:szCs w:val="18"/>
          <w:lang w:val="en-US" w:eastAsia="zh-CN"/>
        </w:rPr>
        <w:t>Revised WID on Non-Terrestrial Networks (NTN) for Internet of Things (IoT) Phase 3</w:t>
      </w:r>
      <w:bookmarkEnd w:id="3"/>
      <w:r>
        <w:rPr>
          <w:rFonts w:hint="default" w:ascii="Arial" w:hAnsi="Arial" w:cs="Arial"/>
          <w:color w:val="000000"/>
          <w:sz w:val="20"/>
          <w:szCs w:val="18"/>
          <w:lang w:val="en-US" w:eastAsia="zh-CN"/>
        </w:rPr>
        <w:t>”</w:t>
      </w:r>
      <w:r>
        <w:rPr>
          <w:rFonts w:hint="eastAsia" w:ascii="Arial" w:hAnsi="Arial" w:cs="Arial"/>
          <w:color w:val="000000"/>
          <w:sz w:val="20"/>
          <w:szCs w:val="18"/>
          <w:lang w:val="en-US" w:eastAsia="zh-CN"/>
        </w:rPr>
        <w:t xml:space="preserve"> has been approved in [1], and the objectives of this WID are listed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3"/>
              </w:numPr>
              <w:rPr>
                <w:bCs/>
              </w:rPr>
            </w:pPr>
            <w:r>
              <w:rPr>
                <w:bCs/>
              </w:rPr>
              <w:t xml:space="preserve">Support of </w:t>
            </w:r>
            <w:bookmarkStart w:id="4" w:name="OLE_LINK13"/>
            <w:r>
              <w:rPr>
                <w:bCs/>
              </w:rPr>
              <w:t>Store&amp;Forward (S&amp;F)</w:t>
            </w:r>
            <w:bookmarkEnd w:id="4"/>
            <w:r>
              <w:rPr>
                <w:bCs/>
              </w:rPr>
              <w:t xml:space="preserve"> satellite operation with full eNB as regenerative payload, therefore:</w:t>
            </w:r>
          </w:p>
          <w:p>
            <w:pPr>
              <w:numPr>
                <w:ilvl w:val="1"/>
                <w:numId w:val="3"/>
              </w:numPr>
              <w:spacing w:after="0"/>
              <w:rPr>
                <w:bCs/>
              </w:rPr>
            </w:pPr>
            <w:r>
              <w:rPr>
                <w:bCs/>
                <w:highlight w:val="yellow"/>
              </w:rPr>
              <w:t>Define the necessary enhancements into E-UTRAN (network &amp; UE) to support S&amp;F operation for delay-tolerant services</w:t>
            </w:r>
            <w:r>
              <w:rPr>
                <w:bCs/>
              </w:rPr>
              <w:t xml:space="preserve"> [</w:t>
            </w:r>
            <w:r>
              <w:rPr>
                <w:bCs/>
                <w:highlight w:val="green"/>
              </w:rPr>
              <w:t>RAN3</w:t>
            </w:r>
            <w:r>
              <w:rPr>
                <w:bCs/>
              </w:rPr>
              <w:t>, RAN2]</w:t>
            </w:r>
          </w:p>
          <w:p>
            <w:pPr>
              <w:numPr>
                <w:ilvl w:val="1"/>
                <w:numId w:val="3"/>
              </w:numPr>
              <w:spacing w:after="0"/>
              <w:rPr>
                <w:bCs/>
              </w:rPr>
            </w:pPr>
            <w:r>
              <w:rPr>
                <w:bCs/>
                <w:highlight w:val="yellow"/>
              </w:rPr>
              <w:t>Specify necessary enhancements for full eNB as regenerative payload e.g. related to S1 protocol, especially to address the feeder link switch over as needed</w:t>
            </w:r>
            <w:r>
              <w:rPr>
                <w:bCs/>
              </w:rPr>
              <w:t xml:space="preserve"> [</w:t>
            </w:r>
            <w:r>
              <w:rPr>
                <w:bCs/>
                <w:highlight w:val="green"/>
              </w:rPr>
              <w:t>RAN3</w:t>
            </w:r>
            <w:r>
              <w:rPr>
                <w:bCs/>
              </w:rPr>
              <w:t>]</w:t>
            </w:r>
          </w:p>
          <w:p>
            <w:pPr>
              <w:spacing w:after="0"/>
              <w:rPr>
                <w:bCs/>
              </w:rPr>
            </w:pPr>
          </w:p>
          <w:p>
            <w:pPr>
              <w:spacing w:after="0"/>
              <w:ind w:left="720"/>
              <w:rPr>
                <w:bCs/>
              </w:rPr>
            </w:pPr>
            <w:r>
              <w:rPr>
                <w:bCs/>
              </w:rPr>
              <w:t>Note: Strive to minimise UE impact.</w:t>
            </w:r>
          </w:p>
          <w:p>
            <w:pPr>
              <w:spacing w:after="0"/>
              <w:rPr>
                <w:bCs/>
              </w:rPr>
            </w:pPr>
          </w:p>
          <w:p>
            <w:pPr>
              <w:spacing w:after="0"/>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pPr>
              <w:spacing w:after="0"/>
              <w:ind w:left="1440"/>
              <w:rPr>
                <w:bCs/>
              </w:rPr>
            </w:pPr>
          </w:p>
          <w:p>
            <w:pPr>
              <w:numPr>
                <w:ilvl w:val="0"/>
                <w:numId w:val="3"/>
              </w:numPr>
              <w:spacing w:after="0"/>
              <w:rPr>
                <w:bCs/>
              </w:rPr>
            </w:pPr>
            <w:bookmarkStart w:id="5" w:name="OLE_LINK19"/>
            <w:bookmarkStart w:id="6" w:name="OLE_LINK20"/>
            <w:r>
              <w:rPr>
                <w:bCs/>
              </w:rPr>
              <w:t>Support of Capacity enhancements for uplink</w:t>
            </w:r>
            <w:bookmarkEnd w:id="5"/>
            <w:r>
              <w:rPr>
                <w:bCs/>
              </w:rPr>
              <w:br w:type="textWrapping"/>
            </w:r>
          </w:p>
          <w:bookmarkEnd w:id="6"/>
          <w:p>
            <w:pPr>
              <w:numPr>
                <w:ilvl w:val="1"/>
                <w:numId w:val="3"/>
              </w:numPr>
              <w:spacing w:after="0"/>
              <w:rPr>
                <w:bCs/>
              </w:rPr>
            </w:pPr>
            <w:r>
              <w:rPr>
                <w:bCs/>
              </w:rPr>
              <w:t xml:space="preserve">Study then specify, if beneficial, enhancements to enable </w:t>
            </w:r>
            <w:bookmarkStart w:id="7" w:name="OLE_LINK16"/>
            <w:r>
              <w:rPr>
                <w:bCs/>
              </w:rPr>
              <w:t xml:space="preserve">multiplexing of multiple UEs </w:t>
            </w:r>
            <w:bookmarkEnd w:id="7"/>
            <w:r>
              <w:rPr>
                <w:bCs/>
              </w:rPr>
              <w:t>(e.g. up to the min of 4 and the maximum allowed by the existing UL and DL signalling) in a single 3.75 kHz or 15 kHz subcarrier via orthogonal cover codes (</w:t>
            </w:r>
            <w:bookmarkStart w:id="8" w:name="OLE_LINK15"/>
            <w:r>
              <w:rPr>
                <w:bCs/>
              </w:rPr>
              <w:t>OCC</w:t>
            </w:r>
            <w:bookmarkEnd w:id="8"/>
            <w:r>
              <w:rPr>
                <w:bCs/>
              </w:rPr>
              <w:t>) for NPUSCH format 1 and NPRACH [RAN1, RAN2, RAN4]</w:t>
            </w:r>
          </w:p>
          <w:p>
            <w:pPr>
              <w:spacing w:after="0"/>
              <w:rPr>
                <w:bCs/>
              </w:rPr>
            </w:pPr>
          </w:p>
          <w:p>
            <w:pPr>
              <w:numPr>
                <w:ilvl w:val="2"/>
                <w:numId w:val="3"/>
              </w:numPr>
              <w:spacing w:after="0"/>
              <w:rPr>
                <w:bCs/>
              </w:rPr>
            </w:pPr>
            <w:r>
              <w:rPr>
                <w:bCs/>
              </w:rPr>
              <w:t>Multi-tone support for 15 kHz SCS should also be considered</w:t>
            </w:r>
          </w:p>
          <w:p>
            <w:pPr>
              <w:numPr>
                <w:ilvl w:val="2"/>
                <w:numId w:val="3"/>
              </w:numPr>
              <w:spacing w:after="0"/>
              <w:rPr>
                <w:bCs/>
              </w:rPr>
            </w:pPr>
            <w:r>
              <w:rPr>
                <w:bCs/>
              </w:rPr>
              <w:t xml:space="preserve">Specify necessary signalling, if needed </w:t>
            </w:r>
          </w:p>
          <w:p>
            <w:pPr>
              <w:numPr>
                <w:ilvl w:val="2"/>
                <w:numId w:val="3"/>
              </w:numPr>
              <w:spacing w:after="0"/>
              <w:rPr>
                <w:bCs/>
              </w:rPr>
            </w:pPr>
            <w:r>
              <w:rPr>
                <w:bCs/>
              </w:rPr>
              <w:t>Update RF requirements accordingly, if needed</w:t>
            </w:r>
          </w:p>
          <w:p>
            <w:pPr>
              <w:spacing w:after="0"/>
              <w:ind w:left="1080" w:firstLine="720"/>
              <w:rPr>
                <w:bCs/>
                <w:i/>
                <w:iCs/>
              </w:rPr>
            </w:pPr>
          </w:p>
          <w:p>
            <w:pPr>
              <w:spacing w:after="0"/>
              <w:ind w:left="1080" w:firstLine="720"/>
              <w:rPr>
                <w:bCs/>
              </w:rPr>
            </w:pPr>
            <w:bookmarkStart w:id="9" w:name="OLE_LINK24"/>
            <w:r>
              <w:rPr>
                <w:bCs/>
              </w:rPr>
              <w:t>Note: Impact of impairment shall be taken into account</w:t>
            </w:r>
          </w:p>
          <w:bookmarkEnd w:id="9"/>
          <w:p>
            <w:pPr>
              <w:spacing w:after="0"/>
              <w:ind w:left="1080" w:firstLine="720"/>
              <w:rPr>
                <w:bCs/>
                <w:i/>
                <w:iCs/>
              </w:rPr>
            </w:pPr>
          </w:p>
          <w:p>
            <w:pPr>
              <w:numPr>
                <w:ilvl w:val="1"/>
                <w:numId w:val="3"/>
              </w:numPr>
              <w:tabs>
                <w:tab w:val="left" w:pos="720"/>
              </w:tabs>
              <w:spacing w:after="0"/>
              <w:rPr>
                <w:bCs/>
              </w:rPr>
            </w:pPr>
            <w:r>
              <w:rPr>
                <w:bCs/>
              </w:rPr>
              <w:t xml:space="preserve">Study and specify, if beneficial the following enhancements to </w:t>
            </w:r>
            <w:bookmarkStart w:id="10" w:name="OLE_LINK26"/>
            <w:r>
              <w:rPr>
                <w:bCs/>
              </w:rPr>
              <w:t xml:space="preserve">reduce the necessary uplink and downlink signaling to complete an </w:t>
            </w:r>
            <w:bookmarkStart w:id="11" w:name="OLE_LINK14"/>
            <w:r>
              <w:rPr>
                <w:bCs/>
              </w:rPr>
              <w:t xml:space="preserve">Early Data Transmission </w:t>
            </w:r>
            <w:bookmarkEnd w:id="11"/>
            <w:r>
              <w:rPr>
                <w:bCs/>
              </w:rPr>
              <w:t xml:space="preserve">(EDT) transaction </w:t>
            </w:r>
            <w:bookmarkEnd w:id="10"/>
            <w:r>
              <w:rPr>
                <w:bCs/>
              </w:rPr>
              <w:t>[RAN2]:</w:t>
            </w:r>
          </w:p>
          <w:p>
            <w:pPr>
              <w:numPr>
                <w:ilvl w:val="2"/>
                <w:numId w:val="3"/>
              </w:numPr>
              <w:spacing w:after="0"/>
              <w:rPr>
                <w:bCs/>
              </w:rPr>
            </w:pPr>
            <w:r>
              <w:rPr>
                <w:bCs/>
              </w:rPr>
              <w:t>Msg3 transmission without msg1/</w:t>
            </w:r>
            <w:r>
              <w:t xml:space="preserve"> </w:t>
            </w:r>
            <w:r>
              <w:rPr>
                <w:bCs/>
              </w:rPr>
              <w:t xml:space="preserve">Random Access Response (RAR) </w:t>
            </w:r>
          </w:p>
          <w:p>
            <w:pPr>
              <w:numPr>
                <w:ilvl w:val="2"/>
                <w:numId w:val="3"/>
              </w:numPr>
              <w:spacing w:after="0"/>
              <w:rPr>
                <w:bCs/>
              </w:rPr>
            </w:pPr>
            <w:r>
              <w:rPr>
                <w:bCs/>
              </w:rPr>
              <w:t>Efficient delivery (reduced overhead) of msg4 / RRCEarlyDataComplete</w:t>
            </w:r>
          </w:p>
          <w:p>
            <w:pPr>
              <w:numPr>
                <w:ilvl w:val="2"/>
                <w:numId w:val="3"/>
              </w:numPr>
              <w:spacing w:after="0"/>
              <w:rPr>
                <w:bCs/>
              </w:rPr>
            </w:pPr>
            <w:r>
              <w:rPr>
                <w:bCs/>
              </w:rPr>
              <w:t>Study and specify RRM requirement, if identified [RAN4]</w:t>
            </w:r>
          </w:p>
          <w:p>
            <w:pPr>
              <w:spacing w:after="0"/>
              <w:ind w:left="1080" w:firstLine="720"/>
              <w:rPr>
                <w:bCs/>
                <w:i/>
                <w:iCs/>
                <w:lang w:val="en-CA"/>
              </w:rPr>
            </w:pPr>
          </w:p>
          <w:p>
            <w:pPr>
              <w:numPr>
                <w:ilvl w:val="0"/>
                <w:numId w:val="3"/>
              </w:numPr>
              <w:rPr>
                <w:bCs/>
              </w:rPr>
            </w:pPr>
            <w:bookmarkStart w:id="12" w:name="OLE_LINK79"/>
            <w:r>
              <w:rPr>
                <w:bCs/>
              </w:rPr>
              <w:t>Support broadcast of PWS messages for NB-IoT re-using the LTE mechanisms [RAN2]</w:t>
            </w:r>
            <w:bookmarkEnd w:id="12"/>
          </w:p>
          <w:p>
            <w:pPr>
              <w:spacing w:after="0"/>
              <w:ind w:left="720"/>
              <w:rPr>
                <w:bCs/>
              </w:rPr>
            </w:pPr>
            <w:r>
              <w:rPr>
                <w:bCs/>
              </w:rPr>
              <w:t xml:space="preserve">Note: </w:t>
            </w:r>
            <w:bookmarkStart w:id="13" w:name="OLE_LINK22"/>
            <w:r>
              <w:rPr>
                <w:bCs/>
              </w:rPr>
              <w:t>The solutions will be developed for NTN but can be applicable to TN (if possible</w:t>
            </w:r>
            <w:bookmarkEnd w:id="13"/>
            <w:r>
              <w:rPr>
                <w:bCs/>
              </w:rPr>
              <w:t xml:space="preserve">). </w:t>
            </w:r>
            <w:bookmarkStart w:id="14" w:name="OLE_LINK25"/>
            <w:r>
              <w:rPr>
                <w:bCs/>
              </w:rPr>
              <w:t>Specific NB-IoT TN optimizations will not be considered as part of this WI</w:t>
            </w:r>
            <w:bookmarkEnd w:id="14"/>
            <w:r>
              <w:rPr>
                <w:bCs/>
              </w:rPr>
              <w:t>.</w:t>
            </w:r>
          </w:p>
          <w:p>
            <w:pPr>
              <w:spacing w:after="0"/>
              <w:ind w:left="1440"/>
              <w:rPr>
                <w:bCs/>
              </w:rPr>
            </w:pPr>
            <w:r>
              <w:rPr>
                <w:bCs/>
              </w:rPr>
              <w:t xml:space="preserve">  </w:t>
            </w:r>
          </w:p>
          <w:p>
            <w:pPr>
              <w:spacing w:after="0"/>
              <w:ind w:left="720"/>
              <w:rPr>
                <w:rFonts w:hint="default" w:ascii="Arial" w:hAnsi="Arial" w:cs="Arial"/>
                <w:color w:val="000000"/>
                <w:sz w:val="20"/>
                <w:szCs w:val="18"/>
                <w:vertAlign w:val="baseline"/>
                <w:lang w:val="en-US" w:eastAsia="zh-CN"/>
              </w:rPr>
            </w:pPr>
            <w:r>
              <w:rPr>
                <w:bCs/>
              </w:rPr>
              <w:t xml:space="preserve">Note: </w:t>
            </w:r>
            <w:bookmarkStart w:id="15" w:name="OLE_LINK28"/>
            <w:r>
              <w:rPr>
                <w:bCs/>
              </w:rPr>
              <w:t xml:space="preserve">Support for </w:t>
            </w:r>
            <w:bookmarkStart w:id="16" w:name="OLE_LINK32"/>
            <w:r>
              <w:rPr>
                <w:bCs/>
              </w:rPr>
              <w:t>indication of intended service area</w:t>
            </w:r>
            <w:bookmarkEnd w:id="16"/>
            <w:r>
              <w:rPr>
                <w:bCs/>
              </w:rPr>
              <w:t xml:space="preserve"> for ETWS will be considered based on NR NTN discussions</w:t>
            </w:r>
            <w:bookmarkEnd w:id="15"/>
            <w:r>
              <w:rPr>
                <w:bCs/>
              </w:rPr>
              <w:t xml:space="preserve">/outcome. </w:t>
            </w:r>
          </w:p>
        </w:tc>
      </w:tr>
    </w:tbl>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this contribution, we continue on the issues of Store&amp;Forward mechanism and provide our views on the support of full eNB as regenerative payload for IoT NTN.</w:t>
      </w:r>
    </w:p>
    <w:p>
      <w:pPr>
        <w:pStyle w:val="2"/>
        <w:bidi w:val="0"/>
        <w:rPr>
          <w:rFonts w:hint="eastAsia"/>
          <w:lang w:val="en-US" w:eastAsia="zh-CN"/>
        </w:rPr>
      </w:pPr>
      <w:r>
        <w:rPr>
          <w:rFonts w:hint="eastAsia"/>
          <w:lang w:val="en-US" w:eastAsia="zh-CN"/>
        </w:rPr>
        <w:t>2  Discussion</w:t>
      </w:r>
    </w:p>
    <w:p>
      <w:pPr>
        <w:pStyle w:val="3"/>
        <w:bidi w:val="0"/>
        <w:rPr>
          <w:rFonts w:hint="eastAsia"/>
          <w:lang w:val="en-US" w:eastAsia="zh-CN"/>
        </w:rPr>
      </w:pPr>
      <w:r>
        <w:rPr>
          <w:rFonts w:hint="eastAsia"/>
          <w:lang w:val="en-US" w:eastAsia="zh-CN"/>
        </w:rPr>
        <w:t>2.1 Support of S&amp;F mechanism</w:t>
      </w:r>
    </w:p>
    <w:p>
      <w:pPr>
        <w:pStyle w:val="4"/>
        <w:bidi w:val="0"/>
        <w:rPr>
          <w:rFonts w:hint="default"/>
          <w:lang w:val="en-US" w:eastAsia="zh-CN"/>
        </w:rPr>
      </w:pPr>
      <w:r>
        <w:rPr>
          <w:rFonts w:hint="eastAsia"/>
          <w:lang w:val="en-US" w:eastAsia="zh-CN"/>
        </w:rPr>
        <w:t>2.1.1 Basic architectures</w:t>
      </w:r>
    </w:p>
    <w:p>
      <w:pPr>
        <w:rPr>
          <w:rFonts w:hint="default" w:ascii="Arial" w:hAnsi="Arial" w:cs="Arial"/>
          <w:color w:val="000000"/>
          <w:sz w:val="20"/>
          <w:szCs w:val="20"/>
          <w:lang w:val="en-US" w:eastAsia="zh-CN" w:bidi="ar-SA"/>
        </w:rPr>
      </w:pPr>
      <w:r>
        <w:rPr>
          <w:rFonts w:hint="eastAsia" w:ascii="Arial" w:hAnsi="Arial" w:cs="Arial"/>
          <w:color w:val="000000"/>
          <w:sz w:val="20"/>
          <w:szCs w:val="20"/>
          <w:lang w:val="en-US" w:eastAsia="zh-CN" w:bidi="ar-SA"/>
        </w:rPr>
        <w:t>In the previous meetings, RAN3 has decided to support the Split MME architecture and Full CN on board architecture in Rel-19 which align with the conclusion in SA2.</w:t>
      </w:r>
    </w:p>
    <w:p>
      <w:pPr>
        <w:rPr>
          <w:rFonts w:hint="eastAsia" w:ascii="Arial" w:hAnsi="Arial" w:cs="Arial"/>
          <w:sz w:val="20"/>
          <w:szCs w:val="20"/>
          <w:lang w:val="en-US" w:eastAsia="zh-CN"/>
        </w:rPr>
      </w:pPr>
      <w:r>
        <w:rPr>
          <w:rFonts w:hint="eastAsia" w:ascii="Arial" w:hAnsi="Arial" w:cs="Arial"/>
          <w:sz w:val="20"/>
          <w:szCs w:val="20"/>
          <w:lang w:val="en-US" w:eastAsia="zh-CN"/>
        </w:rPr>
        <w:t>For the Split MME architecture, the corresponding description from SA2 is given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r>
              <w:t>The following option is agreed for supporting Store and Forward operation with a Split MME architecture with the following (informative) principles:</w:t>
            </w:r>
          </w:p>
          <w:p>
            <w:pPr>
              <w:pStyle w:val="79"/>
            </w:pPr>
            <w:r>
              <w:t>1)</w:t>
            </w:r>
            <w:r>
              <w:tab/>
            </w:r>
            <w:r>
              <w:t>In the Split MME architecture, HSS is on the ground.</w:t>
            </w:r>
          </w:p>
          <w:p>
            <w:pPr>
              <w:pStyle w:val="79"/>
            </w:pPr>
            <w:r>
              <w:t>2)</w:t>
            </w:r>
            <w:r>
              <w:tab/>
            </w:r>
            <w:r>
              <w:t xml:space="preserve">MME functionality is split into two parts: </w:t>
            </w:r>
            <w:r>
              <w:rPr>
                <w:highlight w:val="yellow"/>
              </w:rPr>
              <w:t>MME-onboard - the MME part which is onboard the satellite and MME-ground - the MME part which is on the ground network</w:t>
            </w:r>
            <w:r>
              <w:t xml:space="preserve"> with an interface out of scope of 3GPP.</w:t>
            </w:r>
          </w:p>
          <w:p>
            <w:pPr>
              <w:pStyle w:val="79"/>
            </w:pPr>
            <w:r>
              <w:t>3)</w:t>
            </w:r>
            <w:r>
              <w:tab/>
            </w:r>
            <w:r>
              <w:rPr>
                <w:highlight w:val="yellow"/>
              </w:rPr>
              <w:t>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w:t>
            </w:r>
            <w:r>
              <w:t xml:space="preserve"> All types of data traffic (e.g. IP, etc.) can be supported and transferred using the existing user plane and control plane procedures defined in EPS.</w:t>
            </w:r>
          </w:p>
          <w:p>
            <w:pPr>
              <w:pStyle w:val="79"/>
              <w:rPr>
                <w:rFonts w:hint="default" w:ascii="Arial" w:hAnsi="Arial" w:cs="Arial"/>
                <w:sz w:val="20"/>
                <w:szCs w:val="20"/>
                <w:vertAlign w:val="baseline"/>
                <w:lang w:val="en-US" w:eastAsia="zh-CN"/>
              </w:rPr>
            </w:pPr>
            <w:r>
              <w:t>4)</w:t>
            </w:r>
            <w:r>
              <w:tab/>
            </w:r>
            <w:r>
              <w:t>For MO SMS, upon reception of the MO SMS the MME-onboard stores the MO-SMS and may immediately send the delivery report(i.e. RP-ACK) to the UE i.e. as if the MO-SMS has already been successfully delivered to the Service Centre (SC).</w:t>
            </w:r>
          </w:p>
        </w:tc>
      </w:tr>
    </w:tbl>
    <w:p>
      <w:pPr>
        <w:rPr>
          <w:rFonts w:hint="default" w:ascii="Arial" w:hAnsi="Arial" w:cs="Arial"/>
          <w:sz w:val="20"/>
          <w:szCs w:val="20"/>
          <w:lang w:val="en-US" w:eastAsia="zh-CN"/>
        </w:rPr>
      </w:pPr>
      <w:r>
        <w:rPr>
          <w:rFonts w:hint="eastAsia" w:ascii="Arial" w:hAnsi="Arial" w:cs="Arial"/>
          <w:sz w:val="20"/>
          <w:szCs w:val="20"/>
          <w:lang w:val="en-US" w:eastAsia="zh-CN"/>
        </w:rPr>
        <w:t>In this architecture, the MME functionality is split into MME-onboard and MME-ground. And the MO data is send to MME-onboard and stored in MME-onboard. Then, the MO data is transferred to the MME-ground. Meanwhile, the MT data is located in the MME-ground or the S-GW and transferred to the MME-onboard, then the MT data is stored in MME-onboard. Finally, the MT data is transferred to UE.</w:t>
      </w:r>
    </w:p>
    <w:p>
      <w:pPr>
        <w:rPr>
          <w:rFonts w:hint="eastAsia" w:ascii="Arial" w:hAnsi="Arial" w:cs="Arial"/>
          <w:sz w:val="20"/>
          <w:szCs w:val="20"/>
          <w:lang w:val="en-US" w:eastAsia="zh-CN"/>
        </w:rPr>
      </w:pPr>
      <w:r>
        <w:rPr>
          <w:rFonts w:hint="eastAsia" w:ascii="Arial" w:hAnsi="Arial" w:cs="Arial"/>
          <w:sz w:val="20"/>
          <w:szCs w:val="20"/>
          <w:lang w:val="en-US" w:eastAsia="zh-CN"/>
        </w:rPr>
        <w:t>Since the interface between MME-on board and MME-on ground is S10, which is out of RAN3 scope, the feeder link switch in this architecture has no impact on RAN3. In addition, the exchange of S&amp;F indication, wait timer and list of satellite IDs between the MME and the UE could be contained in the NAS-PDU via the existing S1AP messages.Therefore, there is no impact on S1.</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default" w:ascii="Arial" w:hAnsi="Arial" w:cs="Arial"/>
          <w:sz w:val="20"/>
          <w:szCs w:val="20"/>
          <w:lang w:val="en-US" w:eastAsia="zh-CN"/>
        </w:rPr>
      </w:pPr>
      <w:r>
        <w:rPr>
          <w:rFonts w:hint="eastAsia"/>
          <w:b/>
          <w:bCs/>
          <w:sz w:val="20"/>
          <w:szCs w:val="20"/>
          <w:lang w:val="en-US" w:eastAsia="zh-CN"/>
        </w:rPr>
        <w:t>Proposal 1: For the Split MME architecture, there is no standard impact on RAN3.</w:t>
      </w:r>
    </w:p>
    <w:p>
      <w:pPr>
        <w:rPr>
          <w:rFonts w:hint="eastAsia" w:ascii="Arial" w:hAnsi="Arial" w:cs="Arial"/>
          <w:sz w:val="20"/>
          <w:szCs w:val="20"/>
          <w:lang w:val="en-US" w:eastAsia="zh-CN"/>
        </w:rPr>
      </w:pPr>
      <w:r>
        <w:rPr>
          <w:rFonts w:hint="eastAsia" w:ascii="Arial" w:hAnsi="Arial" w:cs="Arial"/>
          <w:sz w:val="20"/>
          <w:szCs w:val="20"/>
          <w:lang w:val="en-US" w:eastAsia="zh-CN"/>
        </w:rPr>
        <w:t>For the Full CN on board architecture, the corresponding description from SA2 is given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The following option is agreed for supporting Store and Forward operation with a full CN onboard the satellite with the following (informative) principles:</w:t>
            </w:r>
          </w:p>
          <w:p>
            <w:pPr>
              <w:pStyle w:val="79"/>
            </w:pPr>
            <w:r>
              <w:t>-</w:t>
            </w:r>
            <w:r>
              <w:tab/>
            </w:r>
            <w:r>
              <w:t>The whole CN including eNB, MME, SGW, PGW, HSS, E-SMLC, SMSC etc are on board each satellite. Proxies are deployed on the satellite and the ground for application traffic, including support of MT traffic, MO traffic, SMS, etc.</w:t>
            </w:r>
          </w:p>
          <w:p>
            <w:pPr>
              <w:pStyle w:val="79"/>
            </w:pPr>
            <w:r>
              <w:t>-</w:t>
            </w:r>
            <w:r>
              <w:tab/>
            </w:r>
            <w:r>
              <w:t>The implementation of the proxies and the interface between them is out of 3GPP scope.</w:t>
            </w:r>
          </w:p>
          <w:p>
            <w:pPr>
              <w:pStyle w:val="79"/>
            </w:pPr>
            <w:r>
              <w:t>-</w:t>
            </w:r>
            <w:r>
              <w:tab/>
            </w:r>
            <w:r>
              <w:t>The UE attaches, transfers data (e.g. SMS, MO and MT data, etc.) and detaches from each satellite as required and as determined by the monitoring list.</w:t>
            </w:r>
          </w:p>
          <w:p>
            <w:pPr>
              <w:pStyle w:val="60"/>
            </w:pPr>
            <w:r>
              <w:t>NOTE 5:</w:t>
            </w:r>
            <w:r>
              <w:tab/>
            </w:r>
            <w:r>
              <w:t>MT traffic is delivered to the UE after it performs an ATTACH.</w:t>
            </w:r>
          </w:p>
          <w:p>
            <w:pPr>
              <w:pStyle w:val="60"/>
            </w:pPr>
            <w:r>
              <w:t>NOTE 6:</w:t>
            </w:r>
            <w:r>
              <w:tab/>
            </w:r>
            <w:r>
              <w:t>After mobility from S&amp;F operation, MT traffic could be stuck in the ground proxy and will only be retrieved once the UE goes back to S&amp;F operation.</w:t>
            </w:r>
          </w:p>
          <w:p>
            <w:pPr>
              <w:pStyle w:val="79"/>
            </w:pPr>
            <w:r>
              <w:tab/>
            </w:r>
            <w:r>
              <w:t>For MT traffic, the UE attaches to a satellite and to allow delivery of MO traffic from the user or applications on the UE. A UE, based on implementation, could first wait for an indication from the user or from an application on the UE of pending MT traffic or could wait based on knowledge of when MT traffic may arrive, before performing the attach.</w:t>
            </w:r>
          </w:p>
          <w:p>
            <w:pPr>
              <w:pStyle w:val="79"/>
            </w:pPr>
            <w:r>
              <w:t>-</w:t>
            </w:r>
            <w:r>
              <w:tab/>
            </w:r>
            <w:r>
              <w:t>Depending on the deployment and implementation (i.e. outside the scope of 3GPP in this release), the HSSs on the satellites may be populated with subscription data either for only the UEs that may access satellite or all UEs that may access the satellite.</w:t>
            </w:r>
          </w:p>
          <w:p>
            <w:pPr>
              <w:pStyle w:val="79"/>
            </w:pPr>
            <w:r>
              <w:t>-</w:t>
            </w:r>
            <w:r>
              <w:tab/>
            </w:r>
            <w:r>
              <w:t>Depending on the deployment, the UE may have a USIM enhanced for IOPS, or a USIM dedicated to the satellite network.</w:t>
            </w:r>
          </w:p>
          <w:p>
            <w:pPr>
              <w:pStyle w:val="60"/>
              <w:rPr>
                <w:rFonts w:hint="eastAsia" w:ascii="Arial" w:hAnsi="Arial" w:cs="Arial"/>
                <w:sz w:val="20"/>
                <w:szCs w:val="20"/>
                <w:vertAlign w:val="baseline"/>
                <w:lang w:val="en-US" w:eastAsia="zh-CN"/>
              </w:rPr>
            </w:pPr>
            <w:r>
              <w:t>NOTE 7:</w:t>
            </w:r>
            <w:r>
              <w:tab/>
            </w:r>
            <w:r>
              <w:t>The solution does not support the roaming architectures defined in TS 23.501 [2] or TS 23.401 [5].</w:t>
            </w:r>
          </w:p>
        </w:tc>
      </w:tr>
    </w:tbl>
    <w:p>
      <w:pPr>
        <w:rPr>
          <w:rFonts w:hint="eastAsia" w:cs="Arial"/>
          <w:sz w:val="20"/>
          <w:szCs w:val="20"/>
          <w:highlight w:val="yellow"/>
          <w:lang w:val="en-US" w:eastAsia="zh-CN"/>
        </w:rPr>
      </w:pPr>
      <w:r>
        <w:rPr>
          <w:rFonts w:hint="eastAsia" w:ascii="Arial" w:hAnsi="Arial" w:cs="Arial"/>
          <w:sz w:val="20"/>
          <w:szCs w:val="20"/>
          <w:lang w:val="en-US" w:eastAsia="zh-CN"/>
        </w:rPr>
        <w:t>Since the eNB and full CN are all located on board, the working procedure for this architecture is similar with the legacy IoT NTN with both RAN node and CN on ground, the MT and MO data could be stored in the satellite, and the existing MT/MO procedure should be reused. In addition, the feeder link terminates the proxies of the satellite and the ground, which is our of 3GPP scope. Therefore, there is no impact on RAN3 for this architecture.</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2: For the Full CN on board architecture, there is no standard impact on RAN3.</w:t>
      </w:r>
    </w:p>
    <w:p>
      <w:pPr>
        <w:pStyle w:val="4"/>
        <w:bidi w:val="0"/>
        <w:rPr>
          <w:rFonts w:hint="default"/>
          <w:lang w:val="en-US" w:eastAsia="zh-CN"/>
        </w:rPr>
      </w:pPr>
      <w:r>
        <w:rPr>
          <w:rFonts w:hint="eastAsia"/>
          <w:lang w:val="en-US" w:eastAsia="zh-CN"/>
        </w:rPr>
        <w:t>2.1.2 Stage 2 description for support of store and forward operation</w:t>
      </w:r>
    </w:p>
    <w:p>
      <w:pPr>
        <w:rPr>
          <w:rFonts w:hint="default" w:ascii="Arial" w:hAnsi="Arial" w:cs="Arial"/>
          <w:sz w:val="20"/>
          <w:szCs w:val="20"/>
          <w:lang w:val="en-US" w:eastAsia="zh-CN"/>
        </w:rPr>
      </w:pPr>
      <w:r>
        <w:rPr>
          <w:rFonts w:hint="eastAsia" w:ascii="Arial" w:hAnsi="Arial" w:cs="Arial"/>
          <w:sz w:val="20"/>
          <w:szCs w:val="20"/>
          <w:lang w:val="en-US" w:eastAsia="zh-CN"/>
        </w:rPr>
        <w:t>Since the Split MME architecture and Full CN on board architecture should be supported in Rel-19, the corresponding stage 2 description should be introduced. And the following architecture assumptions and principles should be followed.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r>
              <w:rPr>
                <w:lang w:eastAsia="zh-CN"/>
              </w:rPr>
              <w:t>The following architecture assumptions are applied to the study:</w:t>
            </w:r>
          </w:p>
          <w:p>
            <w:pPr>
              <w:pStyle w:val="79"/>
              <w:rPr>
                <w:lang w:eastAsia="zh-CN"/>
              </w:rPr>
            </w:pPr>
            <w:r>
              <w:rPr>
                <w:lang w:eastAsia="zh-CN"/>
              </w:rPr>
              <w:t>-</w:t>
            </w:r>
            <w:r>
              <w:rPr>
                <w:lang w:eastAsia="zh-CN"/>
              </w:rPr>
              <w:tab/>
            </w:r>
            <w:r>
              <w:rPr>
                <w:lang w:eastAsia="zh-CN"/>
              </w:rPr>
              <w:t>The 5GC architecture for satellite access for NR as defined in TS 23.501 [2] is used as a baseline.</w:t>
            </w:r>
          </w:p>
          <w:p>
            <w:pPr>
              <w:pStyle w:val="79"/>
              <w:rPr>
                <w:lang w:eastAsia="zh-CN"/>
              </w:rPr>
            </w:pPr>
            <w:r>
              <w:rPr>
                <w:lang w:eastAsia="zh-CN"/>
              </w:rPr>
              <w:t>-</w:t>
            </w:r>
            <w:r>
              <w:rPr>
                <w:lang w:eastAsia="zh-CN"/>
              </w:rPr>
              <w:tab/>
            </w:r>
            <w:r>
              <w:rPr>
                <w:lang w:eastAsia="zh-CN"/>
              </w:rPr>
              <w:t>The EPC architecture for satellite access for IoT as defined in TS 23.401 [5] and the architecture enhancements to facilitate communications with packet data networks and applications as defined in TS 23.682 [7] are used as a baseline.</w:t>
            </w:r>
          </w:p>
          <w:p>
            <w:pPr>
              <w:pStyle w:val="79"/>
              <w:rPr>
                <w:lang w:eastAsia="zh-CN"/>
              </w:rPr>
            </w:pPr>
            <w:r>
              <w:rPr>
                <w:lang w:eastAsia="zh-CN"/>
              </w:rPr>
              <w:t>-</w:t>
            </w:r>
            <w:r>
              <w:rPr>
                <w:lang w:eastAsia="zh-CN"/>
              </w:rPr>
              <w:tab/>
            </w:r>
            <w:r>
              <w:rPr>
                <w:lang w:eastAsia="zh-CN"/>
              </w:rPr>
              <w:t>At least eNB/gNB is assumed to be on board the satellite.</w:t>
            </w:r>
          </w:p>
          <w:p>
            <w:pPr>
              <w:pStyle w:val="79"/>
              <w:rPr>
                <w:lang w:eastAsia="zh-CN"/>
              </w:rPr>
            </w:pPr>
            <w:r>
              <w:rPr>
                <w:lang w:eastAsia="zh-CN"/>
              </w:rPr>
              <w:t>-</w:t>
            </w:r>
            <w:r>
              <w:rPr>
                <w:lang w:eastAsia="zh-CN"/>
              </w:rPr>
              <w:tab/>
            </w:r>
            <w:r>
              <w:rPr>
                <w:lang w:eastAsia="zh-CN"/>
              </w:rPr>
              <w:t>Impacts to UE, network functions and entities are minimised. To the extent possible, existing procedures and functionality is reused.</w:t>
            </w:r>
          </w:p>
          <w:p>
            <w:pPr>
              <w:pStyle w:val="79"/>
              <w:rPr>
                <w:highlight w:val="yellow"/>
                <w:lang w:eastAsia="zh-CN"/>
              </w:rPr>
            </w:pPr>
            <w:r>
              <w:rPr>
                <w:highlight w:val="yellow"/>
                <w:lang w:eastAsia="zh-CN"/>
              </w:rPr>
              <w:t>-</w:t>
            </w:r>
            <w:r>
              <w:rPr>
                <w:highlight w:val="yellow"/>
                <w:lang w:eastAsia="zh-CN"/>
              </w:rPr>
              <w:tab/>
            </w:r>
            <w:r>
              <w:rPr>
                <w:highlight w:val="yellow"/>
                <w:lang w:eastAsia="zh-CN"/>
              </w:rPr>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pPr>
              <w:pStyle w:val="79"/>
              <w:rPr>
                <w:lang w:eastAsia="zh-CN"/>
              </w:rPr>
            </w:pPr>
            <w:r>
              <w:rPr>
                <w:lang w:eastAsia="zh-CN"/>
              </w:rPr>
              <w:t>-</w:t>
            </w:r>
            <w:r>
              <w:rPr>
                <w:lang w:eastAsia="zh-CN"/>
              </w:rPr>
              <w:tab/>
            </w:r>
            <w:r>
              <w:rPr>
                <w:lang w:eastAsia="zh-CN"/>
              </w:rPr>
              <w:t>Store and Forward Satellite Operation assumes that UE-satellite-ground network connectivity can be intermittent as defined in clause 3.1.</w:t>
            </w:r>
          </w:p>
          <w:p>
            <w:pPr>
              <w:pStyle w:val="79"/>
              <w:rPr>
                <w:highlight w:val="yellow"/>
                <w:lang w:eastAsia="zh-CN"/>
              </w:rPr>
            </w:pPr>
            <w:r>
              <w:rPr>
                <w:highlight w:val="yellow"/>
                <w:lang w:eastAsia="zh-CN"/>
              </w:rPr>
              <w:t>-</w:t>
            </w:r>
            <w:r>
              <w:rPr>
                <w:highlight w:val="yellow"/>
                <w:lang w:eastAsia="zh-CN"/>
              </w:rPr>
              <w:tab/>
            </w:r>
            <w:r>
              <w:rPr>
                <w:highlight w:val="yellow"/>
                <w:lang w:eastAsia="zh-CN"/>
              </w:rPr>
              <w:t>Store and Forward Satellite Operation shall work without ISL.</w:t>
            </w:r>
          </w:p>
          <w:p>
            <w:pPr>
              <w:pStyle w:val="79"/>
              <w:rPr>
                <w:lang w:eastAsia="zh-CN"/>
              </w:rPr>
            </w:pPr>
            <w:r>
              <w:rPr>
                <w:lang w:eastAsia="zh-CN"/>
              </w:rPr>
              <w:t>-</w:t>
            </w:r>
            <w:r>
              <w:rPr>
                <w:lang w:eastAsia="zh-CN"/>
              </w:rPr>
              <w:tab/>
            </w:r>
            <w:r>
              <w:rPr>
                <w:lang w:eastAsia="zh-CN"/>
              </w:rPr>
              <w:t>NR UE-Satellite-UE communication assumes a connection to the ground is always available.</w:t>
            </w:r>
          </w:p>
          <w:p>
            <w:pPr>
              <w:pStyle w:val="79"/>
              <w:rPr>
                <w:lang w:eastAsia="zh-CN"/>
              </w:rPr>
            </w:pPr>
            <w:r>
              <w:rPr>
                <w:lang w:eastAsia="zh-CN"/>
              </w:rPr>
              <w:t>-</w:t>
            </w:r>
            <w:r>
              <w:rPr>
                <w:lang w:eastAsia="zh-CN"/>
              </w:rPr>
              <w:tab/>
            </w:r>
            <w:r>
              <w:rPr>
                <w:lang w:eastAsia="zh-CN"/>
              </w:rPr>
              <w:t>NR UE-Satellite-UE communication assumes only IMS services including MMTEL and mission critical communications are considered.</w:t>
            </w:r>
          </w:p>
          <w:p>
            <w:pPr>
              <w:pStyle w:val="79"/>
              <w:rPr>
                <w:lang w:eastAsia="zh-CN"/>
              </w:rPr>
            </w:pPr>
            <w:r>
              <w:rPr>
                <w:lang w:eastAsia="zh-CN"/>
              </w:rPr>
              <w:t>-</w:t>
            </w:r>
            <w:r>
              <w:rPr>
                <w:lang w:eastAsia="zh-CN"/>
              </w:rPr>
              <w:tab/>
            </w:r>
            <w:r>
              <w:rPr>
                <w:lang w:eastAsia="zh-CN"/>
              </w:rPr>
              <w:t>The enhancement for NR UE-Satellite-UE communication assumes a minimum set of core network entities, including at least UPF, is present onboard of the satellites.</w:t>
            </w:r>
          </w:p>
          <w:p>
            <w:pPr>
              <w:pStyle w:val="79"/>
              <w:rPr>
                <w:lang w:eastAsia="zh-CN"/>
              </w:rPr>
            </w:pPr>
            <w:r>
              <w:rPr>
                <w:lang w:eastAsia="zh-CN"/>
              </w:rPr>
              <w:t>-</w:t>
            </w:r>
            <w:r>
              <w:rPr>
                <w:lang w:eastAsia="zh-CN"/>
              </w:rPr>
              <w:tab/>
            </w:r>
            <w:r>
              <w:rPr>
                <w:lang w:eastAsia="zh-CN"/>
              </w:rPr>
              <w:t>NR UE-Satellite-UE communication assumes that the serving satellite will be of MEO or of LEO type.</w:t>
            </w:r>
          </w:p>
          <w:p>
            <w:pPr>
              <w:pStyle w:val="79"/>
              <w:rPr>
                <w:lang w:eastAsia="zh-CN"/>
              </w:rPr>
            </w:pPr>
            <w:r>
              <w:rPr>
                <w:lang w:eastAsia="zh-CN"/>
              </w:rPr>
              <w:t>-</w:t>
            </w:r>
            <w:r>
              <w:rPr>
                <w:lang w:eastAsia="zh-CN"/>
              </w:rPr>
              <w:tab/>
            </w:r>
            <w:r>
              <w:rPr>
                <w:lang w:eastAsia="zh-CN"/>
              </w:rPr>
              <w:t>NR UE-Satellite-UE communication for MMTEL service assumes communication between two UEs under the coverage of the same satellite or different satellites.</w:t>
            </w:r>
          </w:p>
          <w:p>
            <w:pPr>
              <w:pStyle w:val="60"/>
              <w:rPr>
                <w:rFonts w:hint="default" w:ascii="Arial" w:hAnsi="Arial" w:cs="Arial"/>
                <w:sz w:val="20"/>
                <w:szCs w:val="20"/>
                <w:vertAlign w:val="baseline"/>
                <w:lang w:val="en-US" w:eastAsia="zh-CN"/>
              </w:rPr>
            </w:pPr>
            <w:r>
              <w:rPr>
                <w:rFonts w:eastAsia="等线"/>
              </w:rPr>
              <w:t>NOTE:</w:t>
            </w:r>
            <w:r>
              <w:rPr>
                <w:rFonts w:eastAsia="等线"/>
              </w:rPr>
              <w:tab/>
            </w:r>
            <w:r>
              <w:rPr>
                <w:rFonts w:eastAsia="等线"/>
              </w:rPr>
              <w:t>The study of the scenario when two UEs are under the coverage of the same satellite will be prioritized.</w:t>
            </w:r>
          </w:p>
        </w:tc>
      </w:tr>
    </w:tbl>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3: Introduce the stage 2 description of Split MME architecture and Full CN on board architecture following the architecture assumptions and principles.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3"/>
        <w:bidi w:val="0"/>
        <w:rPr>
          <w:rFonts w:hint="eastAsia"/>
          <w:lang w:val="en-US" w:eastAsia="zh-CN"/>
        </w:rPr>
      </w:pPr>
      <w:r>
        <w:rPr>
          <w:rFonts w:hint="eastAsia"/>
          <w:lang w:val="en-US" w:eastAsia="zh-CN"/>
        </w:rPr>
        <w:t>2.2 Support of full eNB as regenerative payload</w:t>
      </w:r>
    </w:p>
    <w:p>
      <w:pPr>
        <w:rPr>
          <w:rFonts w:hint="eastAsia" w:ascii="Arial" w:hAnsi="Arial" w:cs="Arial"/>
          <w:color w:val="000000"/>
          <w:sz w:val="20"/>
          <w:szCs w:val="20"/>
          <w:lang w:val="en-US" w:eastAsia="zh-CN" w:bidi="ar-SA"/>
        </w:rPr>
      </w:pPr>
      <w:r>
        <w:rPr>
          <w:rFonts w:hint="eastAsia" w:ascii="Arial" w:hAnsi="Arial" w:cs="Arial"/>
          <w:color w:val="000000"/>
          <w:sz w:val="20"/>
          <w:szCs w:val="20"/>
          <w:lang w:val="en-US" w:eastAsia="zh-CN" w:bidi="ar-SA"/>
        </w:rPr>
        <w:t>In the RAN#106, it has been agreed to support full eNB as regenerative payload. In this case, some progress of gNB as regenerative payload in NR NTN can be reused in IoT NTN.</w:t>
      </w:r>
    </w:p>
    <w:p>
      <w:pPr>
        <w:pStyle w:val="4"/>
        <w:bidi w:val="0"/>
        <w:rPr>
          <w:rFonts w:hint="default"/>
          <w:lang w:val="en-US" w:eastAsia="zh-CN"/>
        </w:rPr>
      </w:pPr>
      <w:r>
        <w:rPr>
          <w:rFonts w:hint="eastAsia"/>
          <w:lang w:val="en-US" w:eastAsia="zh-CN"/>
        </w:rPr>
        <w:t>2.2.1 Stage 2 description</w:t>
      </w:r>
    </w:p>
    <w:p>
      <w:pPr>
        <w:rPr>
          <w:rFonts w:hint="default" w:ascii="Arial" w:hAnsi="Arial" w:cs="Arial"/>
          <w:sz w:val="20"/>
          <w:szCs w:val="20"/>
          <w:lang w:val="en-US" w:eastAsia="zh-CN"/>
        </w:rPr>
      </w:pPr>
      <w:r>
        <w:rPr>
          <w:rFonts w:hint="eastAsia" w:ascii="Arial" w:hAnsi="Arial" w:cs="Arial"/>
          <w:sz w:val="20"/>
          <w:szCs w:val="20"/>
          <w:lang w:val="en-US" w:eastAsia="zh-CN"/>
        </w:rPr>
        <w:t>In NR NTN, the stage 2 description to differentiate the transport payload and regenerative payload has been introduced. To support the full eNB as regenerative payload, the similar description should be also introduced in IoT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4: Introduce stage 2 description to differentiate transport payload and regenerative payload for IoT NTN.</w:t>
      </w:r>
    </w:p>
    <w:p>
      <w:pPr>
        <w:pStyle w:val="4"/>
        <w:bidi w:val="0"/>
        <w:rPr>
          <w:rFonts w:hint="default"/>
          <w:lang w:val="en-US" w:eastAsia="zh-CN"/>
        </w:rPr>
      </w:pPr>
      <w:r>
        <w:rPr>
          <w:rFonts w:hint="eastAsia"/>
          <w:lang w:val="en-US" w:eastAsia="zh-CN"/>
        </w:rPr>
        <w:t>2.2.1 S1 interface management</w:t>
      </w:r>
    </w:p>
    <w:p>
      <w:pPr>
        <w:rPr>
          <w:rFonts w:hint="eastAsia" w:ascii="Arial" w:hAnsi="Arial" w:cs="Arial"/>
          <w:sz w:val="20"/>
          <w:szCs w:val="20"/>
          <w:lang w:val="en-US" w:eastAsia="zh-CN"/>
        </w:rPr>
      </w:pPr>
      <w:r>
        <w:rPr>
          <w:rFonts w:hint="eastAsia" w:ascii="Arial" w:hAnsi="Arial" w:cs="Arial"/>
          <w:sz w:val="20"/>
          <w:szCs w:val="20"/>
          <w:lang w:val="en-US" w:eastAsia="zh-CN"/>
        </w:rPr>
        <w:t>Since NR NTN has introduced the NG Removal procedure for NG interface management to support gNB as regenerative payload, in IoT NTN, the similar principle and procedure should be introduced for S1 interface management. The eNB is able to initialize the removal of S1 interface between eNB and MME.</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5: Introduce S1 Removal procedure for IoT NTN.</w:t>
      </w:r>
    </w:p>
    <w:p>
      <w:pPr>
        <w:pStyle w:val="4"/>
        <w:bidi w:val="0"/>
        <w:rPr>
          <w:rFonts w:hint="default"/>
          <w:lang w:val="en-US" w:eastAsia="zh-CN"/>
        </w:rPr>
      </w:pPr>
      <w:r>
        <w:rPr>
          <w:rFonts w:hint="eastAsia"/>
          <w:lang w:val="en-US" w:eastAsia="zh-CN"/>
        </w:rPr>
        <w:t>2.2.2 Feeder link switch</w:t>
      </w:r>
    </w:p>
    <w:p>
      <w:pPr>
        <w:rPr>
          <w:rFonts w:hint="default" w:ascii="Arial" w:hAnsi="Arial" w:cs="Arial"/>
          <w:sz w:val="20"/>
          <w:szCs w:val="20"/>
          <w:lang w:val="en-US" w:eastAsia="zh-CN"/>
        </w:rPr>
      </w:pPr>
      <w:r>
        <w:rPr>
          <w:rFonts w:hint="eastAsia" w:ascii="Arial" w:hAnsi="Arial" w:cs="Arial"/>
          <w:sz w:val="20"/>
          <w:szCs w:val="20"/>
          <w:lang w:val="en-US" w:eastAsia="zh-CN"/>
        </w:rPr>
        <w:t>In NR NTN, as given in TS38.412[4], since the multiple SCTP associations has already been supported over NG, the gNB IP address changes due to soft feeder link switch can be supported by existing NGAP procedures.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Arial" w:hAnsi="Arial" w:cs="Arial"/>
                <w:sz w:val="20"/>
                <w:szCs w:val="20"/>
                <w:vertAlign w:val="baseline"/>
                <w:lang w:val="en-US" w:eastAsia="zh-CN"/>
              </w:rPr>
            </w:pPr>
            <w:r>
              <w:t xml:space="preserve">NG-RAN node and AMF shall support a configuration with a single SCTP association per NG-RAN node/AMF pair. </w:t>
            </w:r>
            <w:r>
              <w:rPr>
                <w:highlight w:val="yellow"/>
              </w:rPr>
              <w:t>Configurations with multiple SCTP endpoints per NG-RAN node/AMF pair should be supported. When configurations with multiple SCTP associations are supported, the AMF may request to dynamically add/remove SCTP associations between the NG-RAN node/AMF pair.</w:t>
            </w:r>
            <w:r>
              <w:t xml:space="preserve">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 The NG-RAN node shall establish the SCTP association. The SCTP Destination Port number value to be used by NGAP is assigned by IANA in [11]. When the AMF </w:t>
            </w:r>
            <w:r>
              <w:rPr>
                <w:lang w:eastAsia="ja-JP"/>
              </w:rPr>
              <w:t xml:space="preserve">requests to dynamically add additional SCTP associations between the </w:t>
            </w:r>
            <w:r>
              <w:t xml:space="preserve">NG-RAN node/AMF </w:t>
            </w:r>
            <w:r>
              <w:rPr>
                <w:lang w:eastAsia="ja-JP"/>
              </w:rPr>
              <w:t xml:space="preserve">pair, the </w:t>
            </w:r>
            <w:r>
              <w:t xml:space="preserve">SCTP Destination Port number value may be the one assigned by IANA in [11], or any </w:t>
            </w:r>
            <w:r>
              <w:rPr>
                <w:iCs/>
              </w:rPr>
              <w:t xml:space="preserve">dynamic port value </w:t>
            </w:r>
            <w:r>
              <w:rPr>
                <w:rFonts w:hint="eastAsia"/>
              </w:rPr>
              <w:t xml:space="preserve">(IETF RFC </w:t>
            </w:r>
            <w:r>
              <w:t>6335</w:t>
            </w:r>
            <w:r>
              <w:rPr>
                <w:rFonts w:hint="eastAsia"/>
              </w:rPr>
              <w:t xml:space="preserve"> [</w:t>
            </w:r>
            <w:r>
              <w:rPr>
                <w:lang w:eastAsia="ja-JP"/>
              </w:rPr>
              <w:t>9</w:t>
            </w:r>
            <w:r>
              <w:rPr>
                <w:rFonts w:hint="eastAsia"/>
              </w:rPr>
              <w:t>])</w:t>
            </w:r>
            <w:r>
              <w:rPr>
                <w:lang w:eastAsia="ja-JP"/>
              </w:rPr>
              <w:t>.</w:t>
            </w:r>
            <w:r>
              <w:t xml:space="preserve"> </w:t>
            </w:r>
            <w:r>
              <w:rPr>
                <w:highlight w:val="yellow"/>
              </w:rPr>
              <w:t>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tc>
      </w:tr>
    </w:tbl>
    <w:p>
      <w:pPr>
        <w:rPr>
          <w:rFonts w:hint="eastAsia" w:ascii="Arial" w:hAnsi="Arial" w:cs="Arial"/>
          <w:sz w:val="20"/>
          <w:szCs w:val="20"/>
          <w:lang w:val="en-US" w:eastAsia="zh-CN"/>
        </w:rPr>
      </w:pPr>
      <w:r>
        <w:rPr>
          <w:rFonts w:hint="eastAsia" w:ascii="Arial" w:hAnsi="Arial" w:cs="Arial"/>
          <w:sz w:val="20"/>
          <w:szCs w:val="20"/>
          <w:lang w:val="en-US" w:eastAsia="zh-CN"/>
        </w:rPr>
        <w:t>Currently, the multiple SCTP associations has not been supported over S1 by checking the TS 36.412 [5], which means the case of eNB IP address changes due to soft feeder link switch cannot be achieved by the existing S1AP procedure.</w:t>
      </w:r>
    </w:p>
    <w:p>
      <w:pPr>
        <w:rPr>
          <w:rFonts w:hint="default" w:ascii="Arial" w:hAnsi="Arial" w:cs="Arial"/>
          <w:sz w:val="20"/>
          <w:szCs w:val="20"/>
          <w:lang w:val="en-US" w:eastAsia="zh-CN"/>
        </w:rPr>
      </w:pPr>
      <w:r>
        <w:rPr>
          <w:rFonts w:hint="eastAsia" w:ascii="Arial" w:hAnsi="Arial" w:cs="Arial"/>
          <w:sz w:val="20"/>
          <w:szCs w:val="20"/>
          <w:lang w:val="en-US" w:eastAsia="zh-CN"/>
        </w:rPr>
        <w:t>However, due to feature of service delay-tolerant, the soft feeder link switch is not necessarily supported in IoT NTN. And the hard soft feeder link switch is workable without any enhancement over S1. During the feeder link switch for IoT NTN, the MME can request to remove the existing SCTP association, and the eNB is able to establish a new SCTP association later.</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6: Considering the feature of service delay-tolerant, the multiple SCTP associations is not necessarily supported in IoT NTN.</w:t>
      </w:r>
    </w:p>
    <w:p>
      <w:pPr>
        <w:pStyle w:val="2"/>
        <w:ind w:left="0" w:leftChars="0" w:firstLine="0" w:firstLineChars="0"/>
        <w:rPr>
          <w:rFonts w:hint="eastAsia"/>
          <w:lang w:val="en-US" w:eastAsia="zh-CN"/>
        </w:rPr>
      </w:pPr>
      <w:r>
        <w:rPr>
          <w:rFonts w:hint="eastAsia"/>
          <w:lang w:val="en-US" w:eastAsia="zh-CN"/>
        </w:rPr>
        <w:t>3  Conclusion</w:t>
      </w:r>
    </w:p>
    <w:p>
      <w:pPr>
        <w:rPr>
          <w:rFonts w:hint="default"/>
          <w:u w:val="single"/>
          <w:lang w:val="en-US"/>
        </w:rPr>
      </w:pPr>
      <w:r>
        <w:rPr>
          <w:rFonts w:hint="eastAsia"/>
          <w:u w:val="single"/>
          <w:lang w:val="en-US" w:eastAsia="zh-CN"/>
        </w:rPr>
        <w:t>Support of Store and Forward mechanism</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1: For the Split MME architecture, there is no standard impact on RAN3.</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2: For the Full CN on board architecture, there is no standard impact on RAN3.</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3: Introduce the stage 2 description of Split MME architecture and Full CN on board architecture following the architecture assumptions and principles.</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rPr>
          <w:rFonts w:hint="default"/>
          <w:b/>
          <w:bCs/>
          <w:sz w:val="20"/>
          <w:szCs w:val="20"/>
          <w:lang w:val="en-US" w:eastAsia="zh-CN"/>
        </w:rPr>
      </w:pPr>
      <w:r>
        <w:rPr>
          <w:rFonts w:hint="eastAsia"/>
          <w:u w:val="single"/>
          <w:lang w:val="en-US" w:eastAsia="zh-CN"/>
        </w:rPr>
        <w:t>Support of full eNB as regenerative payload</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4: Introduce stage 2 description to differentiate transport payload and regenerative payload for IoT NTN.</w:t>
      </w:r>
      <w:bookmarkStart w:id="18" w:name="_GoBack"/>
      <w:bookmarkEnd w:id="18"/>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5: Introduce S1 Removal procedure for IoT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6: Considering the feature of service delay-tolerant, the multiple SCTP associations is not necessarily supported in IoT NTN.</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corresponding stage 2 CR for TS36.300 is given in [3].</w:t>
      </w:r>
    </w:p>
    <w:p>
      <w:pPr>
        <w:pStyle w:val="2"/>
        <w:rPr>
          <w:rFonts w:cs="Arial"/>
          <w:lang w:val="en-US" w:eastAsia="zh-CN"/>
        </w:rPr>
      </w:pPr>
      <w:r>
        <w:rPr>
          <w:rFonts w:cs="Arial"/>
          <w:lang w:val="en-US"/>
        </w:rPr>
        <w:t>References</w:t>
      </w:r>
    </w:p>
    <w:p>
      <w:pPr>
        <w:numPr>
          <w:ilvl w:val="0"/>
          <w:numId w:val="4"/>
        </w:numPr>
        <w:ind w:left="284" w:hanging="284" w:hangingChars="142"/>
        <w:rPr>
          <w:rFonts w:hint="default" w:ascii="Arial" w:hAnsi="Arial" w:cs="Arial"/>
          <w:szCs w:val="15"/>
          <w:lang w:val="en-US" w:eastAsia="zh-CN"/>
        </w:rPr>
      </w:pPr>
      <w:bookmarkStart w:id="17" w:name="OLE_LINK1"/>
      <w:r>
        <w:rPr>
          <w:rFonts w:hint="eastAsia" w:ascii="Arial" w:hAnsi="Arial" w:cs="Arial"/>
          <w:szCs w:val="15"/>
          <w:lang w:val="en-US" w:eastAsia="zh-CN"/>
        </w:rPr>
        <w:t>RP-243278,</w:t>
      </w:r>
      <w:r>
        <w:rPr>
          <w:rFonts w:hint="eastAsia" w:ascii="Arial" w:hAnsi="Arial" w:eastAsia="Batang" w:cs="Arial"/>
          <w:b/>
          <w:sz w:val="24"/>
          <w:szCs w:val="24"/>
          <w:lang w:val="en-US" w:eastAsia="zh-CN"/>
        </w:rPr>
        <w:t xml:space="preserve"> </w:t>
      </w:r>
      <w:r>
        <w:rPr>
          <w:rFonts w:hint="eastAsia" w:ascii="Arial" w:hAnsi="Arial" w:cs="Arial"/>
          <w:szCs w:val="15"/>
          <w:lang w:val="en-US" w:eastAsia="zh-CN"/>
        </w:rPr>
        <w:t>Revised WID on Non-Terrestrial Networks (NTN) for Internet of Things (IoT) Phase 3, MediaTek Inc. (Rapporteur)</w:t>
      </w:r>
    </w:p>
    <w:bookmarkEnd w:id="17"/>
    <w:p>
      <w:pPr>
        <w:numPr>
          <w:ilvl w:val="0"/>
          <w:numId w:val="4"/>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TR 23.700-29 v19.0.0</w:t>
      </w:r>
    </w:p>
    <w:p>
      <w:pPr>
        <w:numPr>
          <w:ilvl w:val="0"/>
          <w:numId w:val="4"/>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R3-250505,</w:t>
      </w:r>
      <w:r>
        <w:rPr>
          <w:rFonts w:hint="eastAsia" w:ascii="Arial" w:hAnsi="Arial" w:eastAsia="Times New Roman" w:cs="Arial"/>
          <w:szCs w:val="15"/>
          <w:lang w:val="en-US" w:eastAsia="zh-CN"/>
        </w:rPr>
        <w:t xml:space="preserve"> Support of full eNB as regenerative payload and Store&amp;Forward mechanism for IoT NTN, ZTE Corporation, Samsung, CMCC, CATT</w:t>
      </w:r>
    </w:p>
    <w:p>
      <w:pPr>
        <w:numPr>
          <w:ilvl w:val="0"/>
          <w:numId w:val="4"/>
        </w:numPr>
        <w:ind w:left="284" w:hanging="284" w:hangingChars="142"/>
        <w:rPr>
          <w:rFonts w:hint="default" w:ascii="Arial" w:hAnsi="Arial" w:eastAsia="宋体" w:cs="Arial"/>
          <w:szCs w:val="15"/>
          <w:lang w:val="en-US" w:eastAsia="zh-CN"/>
        </w:rPr>
      </w:pPr>
      <w:r>
        <w:rPr>
          <w:rFonts w:hint="eastAsia" w:ascii="Arial" w:hAnsi="Arial" w:eastAsia="宋体" w:cs="Arial"/>
          <w:szCs w:val="15"/>
          <w:lang w:val="en-US" w:eastAsia="zh-CN"/>
        </w:rPr>
        <w:t>TS 38.412 v18.1.0</w:t>
      </w:r>
    </w:p>
    <w:p>
      <w:pPr>
        <w:numPr>
          <w:ilvl w:val="0"/>
          <w:numId w:val="4"/>
        </w:numPr>
        <w:ind w:left="284" w:hanging="284" w:hangingChars="142"/>
        <w:rPr>
          <w:rFonts w:hint="default" w:ascii="Arial" w:hAnsi="Arial" w:eastAsia="宋体" w:cs="Arial"/>
          <w:szCs w:val="15"/>
          <w:lang w:val="en-US" w:eastAsia="zh-CN"/>
        </w:rPr>
      </w:pPr>
      <w:r>
        <w:rPr>
          <w:rFonts w:hint="eastAsia" w:ascii="Arial" w:hAnsi="Arial" w:eastAsia="宋体" w:cs="Arial"/>
          <w:szCs w:val="15"/>
          <w:lang w:val="en-US" w:eastAsia="zh-CN"/>
        </w:rPr>
        <w:t>TS 36.412 v18.1.0</w:t>
      </w:r>
    </w:p>
    <w:p>
      <w:pPr>
        <w:numPr>
          <w:ilvl w:val="0"/>
          <w:numId w:val="0"/>
        </w:numPr>
        <w:ind w:leftChars="-142"/>
        <w:rPr>
          <w:rFonts w:hint="default"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30501E44"/>
    <w:multiLevelType w:val="multilevel"/>
    <w:tmpl w:val="30501E44"/>
    <w:lvl w:ilvl="0" w:tentative="0">
      <w:start w:val="1"/>
      <w:numFmt w:val="decimal"/>
      <w:pStyle w:val="129"/>
      <w:lvlText w:val="Proposal %1:  "/>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1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4AF3F3E"/>
    <w:rsid w:val="093150BB"/>
    <w:rsid w:val="09740087"/>
    <w:rsid w:val="0A1E5028"/>
    <w:rsid w:val="0AD23400"/>
    <w:rsid w:val="0CC40F19"/>
    <w:rsid w:val="0DCA79A8"/>
    <w:rsid w:val="0E3136E6"/>
    <w:rsid w:val="0E9653EB"/>
    <w:rsid w:val="0EB605BF"/>
    <w:rsid w:val="0EC05A14"/>
    <w:rsid w:val="0F16768D"/>
    <w:rsid w:val="0FA451BA"/>
    <w:rsid w:val="13792BAA"/>
    <w:rsid w:val="139015E6"/>
    <w:rsid w:val="14D00E04"/>
    <w:rsid w:val="1589154B"/>
    <w:rsid w:val="15A20725"/>
    <w:rsid w:val="16CE0C48"/>
    <w:rsid w:val="1A0466FB"/>
    <w:rsid w:val="1C2D35B9"/>
    <w:rsid w:val="1D155476"/>
    <w:rsid w:val="1F861224"/>
    <w:rsid w:val="20F3048E"/>
    <w:rsid w:val="21285BC2"/>
    <w:rsid w:val="23082C82"/>
    <w:rsid w:val="23545058"/>
    <w:rsid w:val="25691C58"/>
    <w:rsid w:val="26A22470"/>
    <w:rsid w:val="28637FC4"/>
    <w:rsid w:val="2A14199C"/>
    <w:rsid w:val="2CE25BA2"/>
    <w:rsid w:val="2D446FBC"/>
    <w:rsid w:val="2E0820D9"/>
    <w:rsid w:val="2F223451"/>
    <w:rsid w:val="30760BF0"/>
    <w:rsid w:val="30CB3834"/>
    <w:rsid w:val="315B4657"/>
    <w:rsid w:val="315E1A2C"/>
    <w:rsid w:val="31A50AE1"/>
    <w:rsid w:val="3213537B"/>
    <w:rsid w:val="343C414D"/>
    <w:rsid w:val="344C1034"/>
    <w:rsid w:val="3508037E"/>
    <w:rsid w:val="35210BF3"/>
    <w:rsid w:val="35630EFA"/>
    <w:rsid w:val="364606F4"/>
    <w:rsid w:val="367F46EA"/>
    <w:rsid w:val="36DB3FDE"/>
    <w:rsid w:val="39F3062A"/>
    <w:rsid w:val="3A5B0F85"/>
    <w:rsid w:val="3CB536C8"/>
    <w:rsid w:val="3D3E6E28"/>
    <w:rsid w:val="3D792651"/>
    <w:rsid w:val="3D8F58E0"/>
    <w:rsid w:val="3D903463"/>
    <w:rsid w:val="3E313BCA"/>
    <w:rsid w:val="3EB90BDA"/>
    <w:rsid w:val="40B31123"/>
    <w:rsid w:val="41497E94"/>
    <w:rsid w:val="469938F6"/>
    <w:rsid w:val="493D64F1"/>
    <w:rsid w:val="4B1879EE"/>
    <w:rsid w:val="4C2F6E91"/>
    <w:rsid w:val="51AC1FE5"/>
    <w:rsid w:val="57B10770"/>
    <w:rsid w:val="5A8D75A7"/>
    <w:rsid w:val="5BA31801"/>
    <w:rsid w:val="5CE93BF4"/>
    <w:rsid w:val="5E801B8A"/>
    <w:rsid w:val="5ECD7994"/>
    <w:rsid w:val="5F58247F"/>
    <w:rsid w:val="5F8E5CD6"/>
    <w:rsid w:val="5FDA6F05"/>
    <w:rsid w:val="6010771C"/>
    <w:rsid w:val="62B9609B"/>
    <w:rsid w:val="64AB0FD3"/>
    <w:rsid w:val="656E746E"/>
    <w:rsid w:val="656F1C10"/>
    <w:rsid w:val="6591738C"/>
    <w:rsid w:val="669069E8"/>
    <w:rsid w:val="68441265"/>
    <w:rsid w:val="688D6F0D"/>
    <w:rsid w:val="6970652E"/>
    <w:rsid w:val="699C0018"/>
    <w:rsid w:val="6A154DA8"/>
    <w:rsid w:val="6B2A73F3"/>
    <w:rsid w:val="6B9F2C01"/>
    <w:rsid w:val="6BFA4652"/>
    <w:rsid w:val="6CE25ECD"/>
    <w:rsid w:val="6E3A0B0C"/>
    <w:rsid w:val="6E9640E8"/>
    <w:rsid w:val="704476BC"/>
    <w:rsid w:val="70744007"/>
    <w:rsid w:val="70A873E0"/>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0"/>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23"/>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 w:type="paragraph" w:customStyle="1" w:styleId="127">
    <w:name w:val="Agreement"/>
    <w:basedOn w:val="1"/>
    <w:next w:val="128"/>
    <w:qFormat/>
    <w:uiPriority w:val="0"/>
    <w:pPr>
      <w:numPr>
        <w:ilvl w:val="0"/>
        <w:numId w:val="1"/>
      </w:numPr>
      <w:spacing w:before="60" w:after="0"/>
    </w:pPr>
    <w:rPr>
      <w:rFonts w:ascii="Arial" w:hAnsi="Arial" w:eastAsia="MS Mincho"/>
      <w:b/>
      <w:szCs w:val="24"/>
      <w:lang w:eastAsia="en-GB"/>
    </w:rPr>
  </w:style>
  <w:style w:type="paragraph" w:customStyle="1" w:styleId="128">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29">
    <w:name w:val="PropObs"/>
    <w:basedOn w:val="1"/>
    <w:qFormat/>
    <w:uiPriority w:val="0"/>
    <w:pPr>
      <w:numPr>
        <w:ilvl w:val="0"/>
        <w:numId w:val="2"/>
      </w:numPr>
      <w:overflowPunct/>
      <w:autoSpaceDE/>
      <w:autoSpaceDN/>
      <w:adjustRightInd/>
      <w:spacing w:after="0"/>
      <w:jc w:val="both"/>
      <w:textAlignment w:val="auto"/>
    </w:pPr>
    <w:rPr>
      <w:rFonts w:ascii="Calibri" w:hAnsi="Calibri" w:cs="Calibri" w:eastAsiaTheme="minorHAnsi"/>
      <w:b/>
      <w:bCs/>
      <w:sz w:val="22"/>
      <w:szCs w:val="22"/>
      <w:lang w:val="en-US" w:eastAsia="sv-S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6</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2025-02-07T06:45:21Z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9F3D864CCEFC44059C57805B6B2191C9</vt:lpwstr>
  </property>
</Properties>
</file>